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DF243" w14:textId="77777777" w:rsidR="004D22A5" w:rsidRPr="002172D3" w:rsidRDefault="00BF7FEF" w:rsidP="00BF7FEF">
      <w:pPr>
        <w:jc w:val="right"/>
        <w:rPr>
          <w:rFonts w:ascii="Times New Roman" w:hAnsi="Times New Roman" w:cs="Times New Roman"/>
          <w:b/>
          <w:i/>
          <w:u w:val="single"/>
          <w:lang w:val="en-US"/>
        </w:rPr>
      </w:pPr>
      <w:r w:rsidRPr="002172D3">
        <w:rPr>
          <w:rFonts w:ascii="Times New Roman" w:hAnsi="Times New Roman"/>
          <w:b/>
          <w:i/>
          <w:u w:val="single"/>
          <w:lang w:val="en-US"/>
        </w:rPr>
        <w:t>Translation from Romanian</w:t>
      </w:r>
    </w:p>
    <w:p w14:paraId="61CDF244" w14:textId="77777777" w:rsidR="00BF7FEF" w:rsidRPr="002172D3" w:rsidRDefault="00BF7FEF" w:rsidP="00BF7FEF">
      <w:pPr>
        <w:jc w:val="both"/>
        <w:rPr>
          <w:rFonts w:ascii="Times New Roman" w:hAnsi="Times New Roman" w:cs="Times New Roman"/>
          <w:b/>
          <w:sz w:val="24"/>
          <w:szCs w:val="24"/>
          <w:lang w:val="en-US"/>
        </w:rPr>
      </w:pPr>
      <w:r w:rsidRPr="002172D3">
        <w:rPr>
          <w:rFonts w:ascii="Times New Roman" w:hAnsi="Times New Roman"/>
          <w:b/>
          <w:sz w:val="24"/>
          <w:lang w:val="en-US"/>
        </w:rPr>
        <w:t>HISTORICAL STUDY FOR THE ANALYSIS OF THE POSSIBILITIES OF FUNCTIONAL CONVERSION OF THE ANNEXES, THE GREENHOUSE AND THE ENHANCEMENT OF THE LIBRECHT - FILIPESCU HOUSE - today the University House (historical monument - code LMI B-II-m-A-19107)</w:t>
      </w:r>
    </w:p>
    <w:p w14:paraId="61CDF245" w14:textId="77777777" w:rsidR="00BF7FEF" w:rsidRPr="002172D3" w:rsidRDefault="00BF7FEF" w:rsidP="00BF7FEF">
      <w:pPr>
        <w:jc w:val="right"/>
        <w:rPr>
          <w:rFonts w:ascii="Times New Roman" w:hAnsi="Times New Roman" w:cs="Times New Roman"/>
          <w:b/>
          <w:sz w:val="24"/>
          <w:szCs w:val="24"/>
          <w:lang w:val="en-US"/>
        </w:rPr>
      </w:pPr>
      <w:r w:rsidRPr="002172D3">
        <w:rPr>
          <w:rFonts w:ascii="Times New Roman" w:hAnsi="Times New Roman"/>
          <w:b/>
          <w:sz w:val="24"/>
          <w:lang w:val="en-US"/>
        </w:rPr>
        <w:t>STRADA DIONISIE LUPU, NR. 46,</w:t>
      </w:r>
    </w:p>
    <w:p w14:paraId="61CDF246" w14:textId="77777777" w:rsidR="00BF7FEF" w:rsidRPr="002172D3" w:rsidRDefault="00BF7FEF" w:rsidP="00BF7FEF">
      <w:pPr>
        <w:jc w:val="right"/>
        <w:rPr>
          <w:rFonts w:ascii="Times New Roman" w:hAnsi="Times New Roman" w:cs="Times New Roman"/>
          <w:b/>
          <w:sz w:val="24"/>
          <w:szCs w:val="24"/>
          <w:lang w:val="en-US"/>
        </w:rPr>
      </w:pPr>
      <w:r w:rsidRPr="002172D3">
        <w:rPr>
          <w:rFonts w:ascii="Times New Roman" w:hAnsi="Times New Roman"/>
          <w:b/>
          <w:sz w:val="24"/>
          <w:lang w:val="en-US"/>
        </w:rPr>
        <w:t>SECTOR 2, MUNICIPIUL BUCURESTI</w:t>
      </w:r>
    </w:p>
    <w:p w14:paraId="61CDF247" w14:textId="77777777" w:rsidR="00BF7FEF" w:rsidRPr="002172D3" w:rsidRDefault="00BF7FEF" w:rsidP="00BF7FEF">
      <w:pPr>
        <w:jc w:val="both"/>
        <w:rPr>
          <w:rFonts w:ascii="Times New Roman" w:hAnsi="Times New Roman" w:cs="Times New Roman"/>
          <w:b/>
          <w:color w:val="FFFFFF" w:themeColor="background1"/>
          <w:sz w:val="24"/>
          <w:szCs w:val="24"/>
          <w:highlight w:val="darkGreen"/>
          <w:shd w:val="clear" w:color="auto" w:fill="00B050"/>
          <w:lang w:val="en-US"/>
        </w:rPr>
      </w:pPr>
      <w:r w:rsidRPr="002172D3">
        <w:rPr>
          <w:rFonts w:ascii="Times New Roman" w:hAnsi="Times New Roman"/>
          <w:b/>
          <w:sz w:val="24"/>
          <w:lang w:val="en-US"/>
        </w:rPr>
        <w:t>SHEET NO. 1.4. - HISTORICAL EVOLUTION OF THE STREET NETWORK, THE PLOT AND THE BUILT FACILITY - COMPARATIVE ANALYSIS OF THE YEARS 1974-2023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2172D3" w14:paraId="61CDF249" w14:textId="77777777" w:rsidTr="00BF7FEF">
        <w:tc>
          <w:tcPr>
            <w:tcW w:w="13176" w:type="dxa"/>
          </w:tcPr>
          <w:p w14:paraId="61CDF248" w14:textId="77777777" w:rsidR="00BF7FEF" w:rsidRPr="002172D3" w:rsidRDefault="008F37BF" w:rsidP="00BF7FEF">
            <w:pPr>
              <w:jc w:val="center"/>
              <w:rPr>
                <w:rFonts w:ascii="Times New Roman" w:hAnsi="Times New Roman" w:cs="Times New Roman"/>
                <w:lang w:val="en-US"/>
              </w:rPr>
            </w:pPr>
            <w:r w:rsidRPr="002172D3">
              <w:rPr>
                <w:noProof/>
                <w:lang w:val="en-US"/>
              </w:rPr>
              <w:drawing>
                <wp:inline distT="0" distB="0" distL="0" distR="0" wp14:anchorId="61CDF2C8" wp14:editId="61CDF2C9">
                  <wp:extent cx="5943600" cy="31680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3168015"/>
                          </a:xfrm>
                          <a:prstGeom prst="rect">
                            <a:avLst/>
                          </a:prstGeom>
                        </pic:spPr>
                      </pic:pic>
                    </a:graphicData>
                  </a:graphic>
                </wp:inline>
              </w:drawing>
            </w:r>
          </w:p>
        </w:tc>
      </w:tr>
    </w:tbl>
    <w:p w14:paraId="61CDF24A" w14:textId="77777777" w:rsidR="00BF7FEF" w:rsidRPr="002172D3"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2196"/>
        <w:gridCol w:w="2196"/>
        <w:gridCol w:w="2196"/>
        <w:gridCol w:w="2196"/>
        <w:gridCol w:w="2196"/>
        <w:gridCol w:w="2196"/>
      </w:tblGrid>
      <w:tr w:rsidR="00BF7FEF" w:rsidRPr="002172D3" w14:paraId="61CDF24E" w14:textId="77777777" w:rsidTr="00BF7FEF">
        <w:tc>
          <w:tcPr>
            <w:tcW w:w="4392" w:type="dxa"/>
            <w:gridSpan w:val="2"/>
          </w:tcPr>
          <w:p w14:paraId="61CDF24B" w14:textId="77777777" w:rsidR="00BF7FEF" w:rsidRPr="002172D3" w:rsidRDefault="00BF7FEF" w:rsidP="00BF7FEF">
            <w:pPr>
              <w:jc w:val="cente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t>COMPARATIVE ANALYSIS OF THE STREET NETWORK 1974-2023</w:t>
            </w:r>
          </w:p>
        </w:tc>
        <w:tc>
          <w:tcPr>
            <w:tcW w:w="4392" w:type="dxa"/>
            <w:gridSpan w:val="2"/>
          </w:tcPr>
          <w:p w14:paraId="61CDF24C" w14:textId="77777777" w:rsidR="00BF7FEF" w:rsidRPr="002172D3" w:rsidRDefault="00BF7FEF" w:rsidP="00BF7FEF">
            <w:pPr>
              <w:jc w:val="cente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t>COMPARATIVE ANALYSIS OF PLOT NETWORK 1974-2023</w:t>
            </w:r>
          </w:p>
        </w:tc>
        <w:tc>
          <w:tcPr>
            <w:tcW w:w="4392" w:type="dxa"/>
            <w:gridSpan w:val="2"/>
          </w:tcPr>
          <w:p w14:paraId="61CDF24D" w14:textId="77777777" w:rsidR="00BF7FEF" w:rsidRPr="002172D3" w:rsidRDefault="00BF7FEF" w:rsidP="00BF7FEF">
            <w:pPr>
              <w:jc w:val="cente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t>COMPARATIVE ANALYSIS OF BUILT-UP FUND 1974-2023</w:t>
            </w:r>
          </w:p>
        </w:tc>
      </w:tr>
      <w:tr w:rsidR="008F37BF" w:rsidRPr="002172D3" w14:paraId="61CDF255" w14:textId="77777777" w:rsidTr="00D2374E">
        <w:tc>
          <w:tcPr>
            <w:tcW w:w="2196" w:type="dxa"/>
          </w:tcPr>
          <w:p w14:paraId="61CDF24F" w14:textId="77777777" w:rsidR="008F37BF" w:rsidRPr="002172D3" w:rsidRDefault="008F37BF" w:rsidP="008F37BF">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t xml:space="preserve">1974 - BUCHAREST - </w:t>
            </w:r>
            <w:r w:rsidRPr="002172D3">
              <w:rPr>
                <w:rFonts w:ascii="Times New Roman" w:hAnsi="Times New Roman"/>
                <w:b/>
                <w:color w:val="FFFFFF" w:themeColor="background1"/>
                <w:sz w:val="20"/>
                <w:highlight w:val="darkGreen"/>
                <w:lang w:val="en-US"/>
              </w:rPr>
              <w:lastRenderedPageBreak/>
              <w:t>HISTORIC CENTER</w:t>
            </w:r>
          </w:p>
        </w:tc>
        <w:tc>
          <w:tcPr>
            <w:tcW w:w="2196" w:type="dxa"/>
          </w:tcPr>
          <w:p w14:paraId="61CDF250" w14:textId="77777777" w:rsidR="008F37BF" w:rsidRPr="002172D3" w:rsidRDefault="008F37BF" w:rsidP="008F37BF">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lastRenderedPageBreak/>
              <w:t xml:space="preserve">2023 -  </w:t>
            </w:r>
            <w:r w:rsidRPr="002172D3">
              <w:rPr>
                <w:rFonts w:ascii="Times New Roman" w:hAnsi="Times New Roman"/>
                <w:b/>
                <w:color w:val="FFFFFF" w:themeColor="background1"/>
                <w:sz w:val="20"/>
                <w:highlight w:val="darkGreen"/>
                <w:lang w:val="en-US"/>
              </w:rPr>
              <w:lastRenderedPageBreak/>
              <w:t>ORTHOPHOTOMAP</w:t>
            </w:r>
          </w:p>
        </w:tc>
        <w:tc>
          <w:tcPr>
            <w:tcW w:w="2196" w:type="dxa"/>
          </w:tcPr>
          <w:p w14:paraId="61CDF251" w14:textId="77777777" w:rsidR="008F37BF" w:rsidRPr="002172D3" w:rsidRDefault="008F37BF" w:rsidP="0047070A">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lastRenderedPageBreak/>
              <w:t xml:space="preserve">1974 - BUCHAREST - </w:t>
            </w:r>
            <w:r w:rsidRPr="002172D3">
              <w:rPr>
                <w:rFonts w:ascii="Times New Roman" w:hAnsi="Times New Roman"/>
                <w:b/>
                <w:color w:val="FFFFFF" w:themeColor="background1"/>
                <w:sz w:val="20"/>
                <w:highlight w:val="darkGreen"/>
                <w:lang w:val="en-US"/>
              </w:rPr>
              <w:lastRenderedPageBreak/>
              <w:t>HISTORIC CENTER</w:t>
            </w:r>
          </w:p>
        </w:tc>
        <w:tc>
          <w:tcPr>
            <w:tcW w:w="2196" w:type="dxa"/>
          </w:tcPr>
          <w:p w14:paraId="61CDF252" w14:textId="77777777" w:rsidR="008F37BF" w:rsidRPr="002172D3" w:rsidRDefault="008F37BF" w:rsidP="0047070A">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lastRenderedPageBreak/>
              <w:t xml:space="preserve">2023 -  </w:t>
            </w:r>
            <w:r w:rsidRPr="002172D3">
              <w:rPr>
                <w:rFonts w:ascii="Times New Roman" w:hAnsi="Times New Roman"/>
                <w:b/>
                <w:color w:val="FFFFFF" w:themeColor="background1"/>
                <w:sz w:val="20"/>
                <w:highlight w:val="darkGreen"/>
                <w:lang w:val="en-US"/>
              </w:rPr>
              <w:lastRenderedPageBreak/>
              <w:t>ORTHOPHOTOMAP</w:t>
            </w:r>
          </w:p>
        </w:tc>
        <w:tc>
          <w:tcPr>
            <w:tcW w:w="2196" w:type="dxa"/>
          </w:tcPr>
          <w:p w14:paraId="61CDF253" w14:textId="77777777" w:rsidR="008F37BF" w:rsidRPr="002172D3" w:rsidRDefault="008F37BF" w:rsidP="0047070A">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lastRenderedPageBreak/>
              <w:t xml:space="preserve">1974 - BUCHAREST - </w:t>
            </w:r>
            <w:r w:rsidRPr="002172D3">
              <w:rPr>
                <w:rFonts w:ascii="Times New Roman" w:hAnsi="Times New Roman"/>
                <w:b/>
                <w:color w:val="FFFFFF" w:themeColor="background1"/>
                <w:sz w:val="20"/>
                <w:highlight w:val="darkGreen"/>
                <w:lang w:val="en-US"/>
              </w:rPr>
              <w:lastRenderedPageBreak/>
              <w:t>HISTORIC CENTER</w:t>
            </w:r>
          </w:p>
        </w:tc>
        <w:tc>
          <w:tcPr>
            <w:tcW w:w="2196" w:type="dxa"/>
          </w:tcPr>
          <w:p w14:paraId="61CDF254" w14:textId="77777777" w:rsidR="008F37BF" w:rsidRPr="002172D3" w:rsidRDefault="008F37BF" w:rsidP="0047070A">
            <w:pPr>
              <w:rPr>
                <w:rFonts w:ascii="Times New Roman" w:hAnsi="Times New Roman" w:cs="Times New Roman"/>
                <w:b/>
                <w:color w:val="FFFFFF" w:themeColor="background1"/>
                <w:sz w:val="20"/>
                <w:szCs w:val="20"/>
                <w:highlight w:val="darkGreen"/>
                <w:lang w:val="en-US"/>
              </w:rPr>
            </w:pPr>
            <w:r w:rsidRPr="002172D3">
              <w:rPr>
                <w:rFonts w:ascii="Times New Roman" w:hAnsi="Times New Roman"/>
                <w:b/>
                <w:color w:val="FFFFFF" w:themeColor="background1"/>
                <w:sz w:val="20"/>
                <w:highlight w:val="darkGreen"/>
                <w:lang w:val="en-US"/>
              </w:rPr>
              <w:lastRenderedPageBreak/>
              <w:t xml:space="preserve">2023 -  </w:t>
            </w:r>
            <w:r w:rsidRPr="002172D3">
              <w:rPr>
                <w:rFonts w:ascii="Times New Roman" w:hAnsi="Times New Roman"/>
                <w:b/>
                <w:color w:val="FFFFFF" w:themeColor="background1"/>
                <w:sz w:val="20"/>
                <w:highlight w:val="darkGreen"/>
                <w:lang w:val="en-US"/>
              </w:rPr>
              <w:lastRenderedPageBreak/>
              <w:t>ORTHOPHOTOMAP</w:t>
            </w:r>
          </w:p>
        </w:tc>
      </w:tr>
      <w:tr w:rsidR="00CC7029" w:rsidRPr="002172D3" w14:paraId="61CDF260" w14:textId="77777777" w:rsidTr="00BF7FEF">
        <w:tc>
          <w:tcPr>
            <w:tcW w:w="4392" w:type="dxa"/>
            <w:gridSpan w:val="2"/>
          </w:tcPr>
          <w:p w14:paraId="61CDF256"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lastRenderedPageBreak/>
              <w:t>The limit of the plot related to the University House</w:t>
            </w:r>
          </w:p>
          <w:p w14:paraId="61CDF257"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58"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Existing circulation arteries at the date of the plan, included in the study area</w:t>
            </w:r>
          </w:p>
        </w:tc>
        <w:tc>
          <w:tcPr>
            <w:tcW w:w="4392" w:type="dxa"/>
            <w:gridSpan w:val="2"/>
          </w:tcPr>
          <w:p w14:paraId="61CDF259"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The limit of the plot related to the University House</w:t>
            </w:r>
          </w:p>
          <w:p w14:paraId="61CDF25A"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5B" w14:textId="77777777" w:rsidR="00CC7029" w:rsidRPr="002172D3" w:rsidRDefault="008F37BF" w:rsidP="008F37BF">
            <w:pPr>
              <w:jc w:val="both"/>
              <w:rPr>
                <w:rFonts w:ascii="Times New Roman" w:hAnsi="Times New Roman" w:cs="Times New Roman"/>
                <w:sz w:val="20"/>
                <w:szCs w:val="20"/>
                <w:lang w:val="en-US"/>
              </w:rPr>
            </w:pPr>
            <w:r w:rsidRPr="002172D3">
              <w:rPr>
                <w:rFonts w:ascii="Times New Roman" w:hAnsi="Times New Roman"/>
                <w:sz w:val="20"/>
                <w:lang w:val="en-US"/>
              </w:rPr>
              <w:t>The limit of the plots on the planning date included within the study area</w:t>
            </w:r>
          </w:p>
        </w:tc>
        <w:tc>
          <w:tcPr>
            <w:tcW w:w="4392" w:type="dxa"/>
            <w:gridSpan w:val="2"/>
          </w:tcPr>
          <w:p w14:paraId="61CDF25C"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Contemporary limit of the plot related to the University House</w:t>
            </w:r>
          </w:p>
          <w:p w14:paraId="61CDF25D" w14:textId="77777777" w:rsidR="00CC7029"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5E" w14:textId="77777777" w:rsidR="00CC7029" w:rsidRPr="002172D3" w:rsidRDefault="008F37BF" w:rsidP="00CC7029">
            <w:pPr>
              <w:jc w:val="both"/>
              <w:rPr>
                <w:rFonts w:ascii="Times New Roman" w:hAnsi="Times New Roman" w:cs="Times New Roman"/>
                <w:sz w:val="20"/>
                <w:szCs w:val="20"/>
                <w:lang w:val="en-US"/>
              </w:rPr>
            </w:pPr>
            <w:r w:rsidRPr="002172D3">
              <w:rPr>
                <w:rFonts w:ascii="Times New Roman" w:hAnsi="Times New Roman"/>
                <w:sz w:val="20"/>
                <w:lang w:val="en-US"/>
              </w:rPr>
              <w:t>Existing constructions at the date of the plan, within the limits of the study area</w:t>
            </w:r>
          </w:p>
          <w:p w14:paraId="61CDF25F" w14:textId="77777777" w:rsidR="008F37BF" w:rsidRPr="002172D3" w:rsidRDefault="008F37BF" w:rsidP="00CC7029">
            <w:pPr>
              <w:jc w:val="both"/>
              <w:rPr>
                <w:rFonts w:ascii="Times New Roman" w:hAnsi="Times New Roman" w:cs="Times New Roman"/>
                <w:sz w:val="20"/>
                <w:szCs w:val="20"/>
                <w:lang w:val="en-US"/>
              </w:rPr>
            </w:pPr>
            <w:r w:rsidRPr="002172D3">
              <w:rPr>
                <w:rFonts w:ascii="Times New Roman" w:hAnsi="Times New Roman"/>
                <w:sz w:val="20"/>
                <w:lang w:val="en-US"/>
              </w:rPr>
              <w:t>Constructions that comprise the University House complex</w:t>
            </w:r>
          </w:p>
        </w:tc>
      </w:tr>
      <w:tr w:rsidR="00CC7029" w:rsidRPr="002172D3" w14:paraId="61CDF27F" w14:textId="77777777" w:rsidTr="00BF7FEF">
        <w:tc>
          <w:tcPr>
            <w:tcW w:w="4392" w:type="dxa"/>
            <w:gridSpan w:val="2"/>
          </w:tcPr>
          <w:p w14:paraId="61CDF261" w14:textId="77777777" w:rsidR="00AC5ACE"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Contemporary limit of the plot related to the University House</w:t>
            </w:r>
          </w:p>
          <w:p w14:paraId="61CDF262" w14:textId="77777777" w:rsidR="00AC5ACE"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63" w14:textId="77777777" w:rsidR="00AC5ACE" w:rsidRPr="002172D3" w:rsidRDefault="00CC7029" w:rsidP="00CC7029">
            <w:pPr>
              <w:jc w:val="both"/>
              <w:rPr>
                <w:rFonts w:ascii="Times New Roman" w:hAnsi="Times New Roman" w:cs="Times New Roman"/>
                <w:sz w:val="20"/>
                <w:szCs w:val="20"/>
                <w:lang w:val="en-US"/>
              </w:rPr>
            </w:pPr>
            <w:r w:rsidRPr="002172D3">
              <w:rPr>
                <w:rFonts w:ascii="Times New Roman" w:hAnsi="Times New Roman"/>
                <w:sz w:val="20"/>
                <w:lang w:val="en-US"/>
              </w:rPr>
              <w:t>Traffic arteries that appeared before 1974 and were maintained during the period 1974-2023</w:t>
            </w:r>
          </w:p>
          <w:p w14:paraId="61CDF264" w14:textId="77777777" w:rsidR="008F37BF" w:rsidRPr="002172D3" w:rsidRDefault="008F37BF" w:rsidP="008F37BF">
            <w:pPr>
              <w:jc w:val="both"/>
              <w:rPr>
                <w:rFonts w:ascii="Times New Roman" w:hAnsi="Times New Roman" w:cs="Times New Roman"/>
                <w:sz w:val="20"/>
                <w:szCs w:val="20"/>
                <w:lang w:val="en-US"/>
              </w:rPr>
            </w:pPr>
            <w:r w:rsidRPr="002172D3">
              <w:rPr>
                <w:rFonts w:ascii="Times New Roman" w:hAnsi="Times New Roman"/>
                <w:sz w:val="20"/>
                <w:lang w:val="en-US"/>
              </w:rPr>
              <w:t>Green spaces created before 1974 and maintained during the period 1974-2023</w:t>
            </w:r>
          </w:p>
          <w:p w14:paraId="61CDF265" w14:textId="77777777" w:rsidR="008F37BF" w:rsidRPr="002172D3" w:rsidRDefault="008F37BF" w:rsidP="00CC7029">
            <w:pPr>
              <w:jc w:val="both"/>
              <w:rPr>
                <w:rFonts w:ascii="Times New Roman" w:hAnsi="Times New Roman" w:cs="Times New Roman"/>
                <w:sz w:val="20"/>
                <w:szCs w:val="20"/>
                <w:lang w:val="en-US"/>
              </w:rPr>
            </w:pPr>
            <w:r w:rsidRPr="002172D3">
              <w:rPr>
                <w:rFonts w:ascii="Times New Roman" w:hAnsi="Times New Roman"/>
                <w:sz w:val="20"/>
                <w:lang w:val="en-US"/>
              </w:rPr>
              <w:t>The pedestrian public square that appeared between 1974-2023</w:t>
            </w:r>
          </w:p>
          <w:p w14:paraId="61CDF266" w14:textId="77777777" w:rsidR="00AC5ACE" w:rsidRPr="002172D3" w:rsidRDefault="00AC5ACE" w:rsidP="00CC7029">
            <w:pPr>
              <w:jc w:val="both"/>
              <w:rPr>
                <w:rFonts w:ascii="Times New Roman" w:hAnsi="Times New Roman" w:cs="Times New Roman"/>
                <w:sz w:val="20"/>
                <w:szCs w:val="20"/>
                <w:lang w:val="en-US"/>
              </w:rPr>
            </w:pPr>
          </w:p>
          <w:p w14:paraId="61CDF267" w14:textId="77777777" w:rsidR="008F37BF" w:rsidRPr="002172D3" w:rsidRDefault="008F37BF" w:rsidP="00CC7029">
            <w:pPr>
              <w:jc w:val="both"/>
              <w:rPr>
                <w:rFonts w:ascii="Times New Roman" w:hAnsi="Times New Roman" w:cs="Times New Roman"/>
                <w:sz w:val="20"/>
                <w:szCs w:val="20"/>
                <w:lang w:val="en-US"/>
              </w:rPr>
            </w:pPr>
          </w:p>
          <w:p w14:paraId="61CDF268" w14:textId="77777777" w:rsidR="00320F90" w:rsidRPr="002172D3" w:rsidRDefault="00320F90" w:rsidP="00CC7029">
            <w:pPr>
              <w:jc w:val="both"/>
              <w:rPr>
                <w:rFonts w:ascii="Times New Roman" w:hAnsi="Times New Roman" w:cs="Times New Roman"/>
                <w:sz w:val="20"/>
                <w:szCs w:val="20"/>
                <w:lang w:val="en-US"/>
              </w:rPr>
            </w:pPr>
          </w:p>
          <w:p w14:paraId="61CDF269" w14:textId="77777777" w:rsidR="00320F90" w:rsidRPr="002172D3" w:rsidRDefault="00320F90" w:rsidP="00CC7029">
            <w:pPr>
              <w:jc w:val="both"/>
              <w:rPr>
                <w:rFonts w:ascii="Times New Roman" w:hAnsi="Times New Roman" w:cs="Times New Roman"/>
                <w:sz w:val="20"/>
                <w:szCs w:val="20"/>
                <w:lang w:val="en-US"/>
              </w:rPr>
            </w:pPr>
          </w:p>
          <w:p w14:paraId="61CDF26A" w14:textId="77777777" w:rsidR="008F37BF" w:rsidRPr="002172D3" w:rsidRDefault="008F37BF" w:rsidP="008F37BF">
            <w:pPr>
              <w:jc w:val="both"/>
              <w:rPr>
                <w:rFonts w:ascii="Times New Roman" w:hAnsi="Times New Roman" w:cs="Times New Roman"/>
                <w:sz w:val="20"/>
                <w:szCs w:val="20"/>
                <w:lang w:val="en-US"/>
              </w:rPr>
            </w:pPr>
            <w:r w:rsidRPr="002172D3">
              <w:rPr>
                <w:rFonts w:ascii="Times New Roman" w:hAnsi="Times New Roman"/>
                <w:sz w:val="20"/>
                <w:lang w:val="en-US"/>
              </w:rPr>
              <w:t>The six historical traffic arteries are currently maintained, having approximately similar importance. Four of these are collector streets, category III, facilitating connections in the west-east direction (G-ral. Gh. Magheru Boulevard - Calea Mosilor) and in the north-south direction (Stefan cel Mare Road - Universitatii Square), while the other two, Pictor Arthur Verona and A. D. Xenopol streets, are local streets, category IV.</w:t>
            </w:r>
          </w:p>
          <w:p w14:paraId="61CDF26B" w14:textId="77777777" w:rsidR="00CC7029" w:rsidRPr="002172D3" w:rsidRDefault="008F37BF" w:rsidP="001A516D">
            <w:pPr>
              <w:jc w:val="both"/>
              <w:rPr>
                <w:rFonts w:ascii="Times New Roman" w:hAnsi="Times New Roman" w:cs="Times New Roman"/>
                <w:sz w:val="20"/>
                <w:szCs w:val="20"/>
                <w:lang w:val="en-US"/>
              </w:rPr>
            </w:pPr>
            <w:r w:rsidRPr="002172D3">
              <w:rPr>
                <w:rFonts w:ascii="Times New Roman" w:hAnsi="Times New Roman"/>
                <w:sz w:val="20"/>
                <w:lang w:val="en-US"/>
              </w:rPr>
              <w:t>The plot on which the University House is located has access to three streets: Dionisie Lupu, Pictor Arthur Verona and Jean Louis Calderon. Of these, Pictor Arthur Verona has the least importance at the level of the municipal street network, but it represents the connecting space between the Icoanei House and Garden.</w:t>
            </w:r>
          </w:p>
        </w:tc>
        <w:tc>
          <w:tcPr>
            <w:tcW w:w="4392" w:type="dxa"/>
            <w:gridSpan w:val="2"/>
          </w:tcPr>
          <w:p w14:paraId="61CDF26C"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Contemporary limit of the plot related to the University House</w:t>
            </w:r>
          </w:p>
          <w:p w14:paraId="61CDF26D"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6E"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The limit of the plots at the time of the Bucharest-Historic Center plan, 1974</w:t>
            </w:r>
          </w:p>
          <w:p w14:paraId="61CDF26F"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Parcel structure that appeared before 1974 and was maintained during the period 1974-2023</w:t>
            </w:r>
          </w:p>
          <w:p w14:paraId="61CDF270"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Parcel list appeared between 1974-2023</w:t>
            </w:r>
          </w:p>
          <w:p w14:paraId="61CDF271"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w:t>
            </w:r>
            <w:r w:rsidRPr="002172D3">
              <w:rPr>
                <w:rFonts w:ascii="Times New Roman" w:hAnsi="Times New Roman"/>
                <w:i/>
                <w:sz w:val="20"/>
                <w:lang w:val="en-US"/>
              </w:rPr>
              <w:t>(The imperfect overlapping of the plots comes from the differences in scale and graphic representation of the two plans</w:t>
            </w:r>
            <w:r w:rsidRPr="002172D3">
              <w:rPr>
                <w:rFonts w:ascii="Times New Roman" w:hAnsi="Times New Roman"/>
                <w:sz w:val="20"/>
                <w:lang w:val="en-US"/>
              </w:rPr>
              <w:t>)</w:t>
            </w:r>
          </w:p>
          <w:p w14:paraId="61CDF272" w14:textId="77777777" w:rsidR="00F44996" w:rsidRPr="002172D3" w:rsidRDefault="00F44996" w:rsidP="00F44996">
            <w:pPr>
              <w:jc w:val="both"/>
              <w:rPr>
                <w:rFonts w:ascii="Times New Roman" w:hAnsi="Times New Roman" w:cs="Times New Roman"/>
                <w:sz w:val="20"/>
                <w:szCs w:val="20"/>
                <w:lang w:val="en-US"/>
              </w:rPr>
            </w:pPr>
          </w:p>
          <w:p w14:paraId="61CDF273" w14:textId="77777777" w:rsidR="00320F90" w:rsidRPr="002172D3" w:rsidRDefault="00320F90" w:rsidP="00F44996">
            <w:pPr>
              <w:jc w:val="both"/>
              <w:rPr>
                <w:rFonts w:ascii="Times New Roman" w:hAnsi="Times New Roman" w:cs="Times New Roman"/>
                <w:sz w:val="20"/>
                <w:szCs w:val="20"/>
                <w:lang w:val="en-US"/>
              </w:rPr>
            </w:pPr>
          </w:p>
          <w:p w14:paraId="61CDF274" w14:textId="77777777" w:rsidR="00320F90" w:rsidRPr="002172D3" w:rsidRDefault="00320F90" w:rsidP="00F44996">
            <w:pPr>
              <w:jc w:val="both"/>
              <w:rPr>
                <w:rFonts w:ascii="Times New Roman" w:hAnsi="Times New Roman" w:cs="Times New Roman"/>
                <w:sz w:val="20"/>
                <w:szCs w:val="20"/>
                <w:lang w:val="en-US"/>
              </w:rPr>
            </w:pPr>
          </w:p>
          <w:p w14:paraId="61CDF275" w14:textId="77777777" w:rsidR="00CC7029"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The parcel layout does not undergo significant changes during this period, due to the high degree of protection, through the establishment of protected areas built in 1991. Urban planning operations are punctual during this period, taking place mainly after 1991. In the eastern part of the studied area, a series of cases of parcel divisions are observed, which, by generalization, may affect the historical, cultural and urban qualities of the parcel.</w:t>
            </w:r>
          </w:p>
        </w:tc>
        <w:tc>
          <w:tcPr>
            <w:tcW w:w="4392" w:type="dxa"/>
            <w:gridSpan w:val="2"/>
          </w:tcPr>
          <w:p w14:paraId="61CDF276"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Contemporary limit of the plot related to the University House</w:t>
            </w:r>
          </w:p>
          <w:p w14:paraId="61CDF277"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Study area limit</w:t>
            </w:r>
          </w:p>
          <w:p w14:paraId="61CDF278"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Constructions that appeared before 1974</w:t>
            </w:r>
          </w:p>
          <w:p w14:paraId="61CDF279"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Constructions that appeared between 1974-2023</w:t>
            </w:r>
          </w:p>
          <w:p w14:paraId="61CDF27A"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Disappeared buildings in the period 1974-2023 (by demolition or accident)</w:t>
            </w:r>
          </w:p>
          <w:p w14:paraId="61CDF27B"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Constructions classified as historical monuments, through the List of Historical Monuments 2015, within the perimeter of the studied area</w:t>
            </w:r>
          </w:p>
          <w:p w14:paraId="61CDF27C" w14:textId="77777777" w:rsidR="00F44996"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w:t>
            </w:r>
            <w:r w:rsidRPr="002172D3">
              <w:rPr>
                <w:rFonts w:ascii="Times New Roman" w:hAnsi="Times New Roman"/>
                <w:i/>
                <w:sz w:val="20"/>
                <w:lang w:val="en-US"/>
              </w:rPr>
              <w:t>The imperfect overlapping of the plots comes from the differences in scale and graphic representation of the two plans.</w:t>
            </w:r>
            <w:r w:rsidRPr="002172D3">
              <w:rPr>
                <w:rFonts w:ascii="Times New Roman" w:hAnsi="Times New Roman"/>
                <w:sz w:val="20"/>
                <w:lang w:val="en-US"/>
              </w:rPr>
              <w:t>)</w:t>
            </w:r>
          </w:p>
          <w:p w14:paraId="61CDF27D" w14:textId="77777777" w:rsidR="00F44996" w:rsidRPr="002172D3" w:rsidRDefault="00F44996" w:rsidP="00F44996">
            <w:pPr>
              <w:jc w:val="both"/>
              <w:rPr>
                <w:rFonts w:ascii="Times New Roman" w:hAnsi="Times New Roman" w:cs="Times New Roman"/>
                <w:sz w:val="20"/>
                <w:szCs w:val="20"/>
                <w:lang w:val="en-US"/>
              </w:rPr>
            </w:pPr>
          </w:p>
          <w:p w14:paraId="61CDF27E" w14:textId="77777777" w:rsidR="00CC7029" w:rsidRPr="002172D3" w:rsidRDefault="00F44996" w:rsidP="00F44996">
            <w:pPr>
              <w:jc w:val="both"/>
              <w:rPr>
                <w:rFonts w:ascii="Times New Roman" w:hAnsi="Times New Roman" w:cs="Times New Roman"/>
                <w:sz w:val="20"/>
                <w:szCs w:val="20"/>
                <w:lang w:val="en-US"/>
              </w:rPr>
            </w:pPr>
            <w:r w:rsidRPr="002172D3">
              <w:rPr>
                <w:rFonts w:ascii="Times New Roman" w:hAnsi="Times New Roman"/>
                <w:sz w:val="20"/>
                <w:lang w:val="en-US"/>
              </w:rPr>
              <w:t>The historical built fund is maintained and well preserved during this period, with minor changes, indicated in the plan: the disappearance of some buildings and new insertions. Less represented on the ground but still existing are the facade modifications or the addition of floors. Six new buildings were added to the University House ensemble during this period: a kitchen, two repositories, an events pavilion, a greenhouse and a warehouse. The last two extend existing buildings, but all are located at the rear of the plot, being invisible from Dionisie Lupu Street. The greenhouses, on the other hand, are visible from Pictor Arthur Verona Street. right next to the access implemented between 1911-1974.</w:t>
            </w:r>
          </w:p>
        </w:tc>
      </w:tr>
    </w:tbl>
    <w:p w14:paraId="61CDF280" w14:textId="77777777" w:rsidR="00BF7FEF" w:rsidRPr="002172D3" w:rsidRDefault="00BF7FEF">
      <w:pPr>
        <w:rPr>
          <w:rFonts w:ascii="Times New Roman" w:hAnsi="Times New Roman" w:cs="Times New Roman"/>
          <w:lang w:val="en-US"/>
        </w:rPr>
      </w:pPr>
    </w:p>
    <w:p w14:paraId="61CDF281" w14:textId="77777777" w:rsidR="00BF7FEF" w:rsidRPr="002172D3" w:rsidRDefault="00BF7FEF">
      <w:pPr>
        <w:rPr>
          <w:rFonts w:ascii="Times New Roman" w:hAnsi="Times New Roman" w:cs="Times New Roman"/>
          <w:lang w:val="en-US"/>
        </w:rPr>
      </w:pPr>
    </w:p>
    <w:p w14:paraId="61CDF282" w14:textId="77777777" w:rsidR="00BF7FEF" w:rsidRPr="002172D3" w:rsidRDefault="00320F90" w:rsidP="001F0D49">
      <w:pPr>
        <w:jc w:val="both"/>
        <w:rPr>
          <w:rFonts w:ascii="Times New Roman" w:hAnsi="Times New Roman" w:cs="Times New Roman"/>
          <w:lang w:val="en-US"/>
        </w:rPr>
      </w:pPr>
      <w:r w:rsidRPr="002172D3">
        <w:rPr>
          <w:rFonts w:ascii="Times New Roman" w:hAnsi="Times New Roman"/>
          <w:lang w:val="en-US"/>
        </w:rPr>
        <w:lastRenderedPageBreak/>
        <w:t xml:space="preserve">Like the previous period, the 1974-2023 interval means the densification of the annexed buildings within the Librecht-Filipescu House. This is the period in which the historical monument becomes the University House, under the administration of the Bucharest University. The built annexes (outdoor kitchen, metal structure, greenhouse extension, warehouse) show the orientation of the ensemble's function towards public catering and services: The house becomes a restaurant with a terrace, and the greenhouses become a space for selling plants during the 1990s. Currently, </w:t>
      </w:r>
      <w:r w:rsidRPr="002172D3">
        <w:rPr>
          <w:rFonts w:ascii="Times New Roman" w:hAnsi="Times New Roman"/>
          <w:b/>
          <w:bCs/>
          <w:lang w:val="en-US"/>
        </w:rPr>
        <w:t>the ensemble is mostly inactive from a functional point of view</w:t>
      </w:r>
      <w:r w:rsidRPr="002172D3">
        <w:rPr>
          <w:rFonts w:ascii="Times New Roman" w:hAnsi="Times New Roman"/>
          <w:lang w:val="en-US"/>
        </w:rPr>
        <w:t>, except for occasional events.</w:t>
      </w:r>
    </w:p>
    <w:p w14:paraId="61CDF283" w14:textId="77777777" w:rsidR="00320F90" w:rsidRPr="002172D3" w:rsidRDefault="00320F90" w:rsidP="001F0D49">
      <w:pPr>
        <w:jc w:val="both"/>
        <w:rPr>
          <w:rFonts w:ascii="Times New Roman" w:hAnsi="Times New Roman" w:cs="Times New Roman"/>
          <w:lang w:val="en-US"/>
        </w:rPr>
      </w:pPr>
    </w:p>
    <w:p w14:paraId="61CDF284" w14:textId="77777777" w:rsidR="00320F90" w:rsidRPr="002172D3" w:rsidRDefault="00320F90" w:rsidP="00320F90">
      <w:pPr>
        <w:jc w:val="center"/>
        <w:rPr>
          <w:rFonts w:ascii="Times New Roman" w:hAnsi="Times New Roman" w:cs="Times New Roman"/>
          <w:lang w:val="en-US"/>
        </w:rPr>
      </w:pPr>
      <w:r w:rsidRPr="002172D3">
        <w:rPr>
          <w:noProof/>
          <w:lang w:val="en-US"/>
        </w:rPr>
        <w:drawing>
          <wp:inline distT="0" distB="0" distL="0" distR="0" wp14:anchorId="61CDF2CA" wp14:editId="61CDF2CB">
            <wp:extent cx="4552950" cy="2057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552950" cy="2057400"/>
                    </a:xfrm>
                    <a:prstGeom prst="rect">
                      <a:avLst/>
                    </a:prstGeom>
                  </pic:spPr>
                </pic:pic>
              </a:graphicData>
            </a:graphic>
          </wp:inline>
        </w:drawing>
      </w:r>
    </w:p>
    <w:p w14:paraId="61CDF285" w14:textId="77777777" w:rsidR="00320F90" w:rsidRPr="002172D3" w:rsidRDefault="00320F90" w:rsidP="00CC7029">
      <w:pPr>
        <w:rPr>
          <w:rFonts w:ascii="Times New Roman" w:hAnsi="Times New Roman" w:cs="Times New Roman"/>
          <w:lang w:val="en-US"/>
        </w:rPr>
      </w:pPr>
    </w:p>
    <w:p w14:paraId="61CDF286" w14:textId="77777777" w:rsidR="00320F90" w:rsidRPr="002172D3" w:rsidRDefault="00320F90" w:rsidP="00CC7029">
      <w:pPr>
        <w:rPr>
          <w:rFonts w:ascii="Times New Roman" w:hAnsi="Times New Roman" w:cs="Times New Roman"/>
          <w:b/>
          <w:u w:val="single"/>
          <w:lang w:val="en-US"/>
        </w:rPr>
      </w:pPr>
      <w:r w:rsidRPr="002172D3">
        <w:rPr>
          <w:rFonts w:ascii="Times New Roman" w:hAnsi="Times New Roman"/>
          <w:b/>
          <w:u w:val="single"/>
          <w:lang w:val="en-US"/>
        </w:rPr>
        <w:t>Legend</w:t>
      </w:r>
    </w:p>
    <w:p w14:paraId="61CDF287" w14:textId="77777777" w:rsidR="00320F90" w:rsidRPr="002172D3" w:rsidRDefault="00320F90" w:rsidP="00CC7029">
      <w:pPr>
        <w:rPr>
          <w:rFonts w:ascii="Times New Roman" w:hAnsi="Times New Roman" w:cs="Times New Roman"/>
          <w:lang w:val="en-US"/>
        </w:rPr>
      </w:pPr>
      <w:r w:rsidRPr="002172D3">
        <w:rPr>
          <w:rFonts w:ascii="Times New Roman" w:hAnsi="Times New Roman"/>
          <w:lang w:val="en-US"/>
        </w:rPr>
        <w:t>Constructions built between 1974-2023</w:t>
      </w:r>
    </w:p>
    <w:p w14:paraId="61CDF288" w14:textId="77777777" w:rsidR="00320F90" w:rsidRPr="002172D3" w:rsidRDefault="00320F90" w:rsidP="00320F90">
      <w:pPr>
        <w:rPr>
          <w:rFonts w:ascii="Times New Roman" w:hAnsi="Times New Roman" w:cs="Times New Roman"/>
          <w:lang w:val="en-US"/>
        </w:rPr>
      </w:pPr>
      <w:r w:rsidRPr="002172D3">
        <w:rPr>
          <w:rFonts w:ascii="Times New Roman" w:hAnsi="Times New Roman"/>
          <w:lang w:val="en-US"/>
        </w:rPr>
        <w:t>Constructions built before 1974</w:t>
      </w:r>
    </w:p>
    <w:p w14:paraId="61CDF289" w14:textId="77777777" w:rsidR="00320F90" w:rsidRPr="002172D3" w:rsidRDefault="00320F90" w:rsidP="00320F90">
      <w:pPr>
        <w:rPr>
          <w:rFonts w:ascii="Times New Roman" w:hAnsi="Times New Roman" w:cs="Times New Roman"/>
          <w:lang w:val="en-US"/>
        </w:rPr>
      </w:pPr>
      <w:r w:rsidRPr="002172D3">
        <w:rPr>
          <w:rFonts w:ascii="Times New Roman" w:hAnsi="Times New Roman"/>
          <w:lang w:val="en-US"/>
        </w:rPr>
        <w:t>The University House is directly visible from Dionisie Lupu Street, being located with the main facade facing it.</w:t>
      </w:r>
    </w:p>
    <w:p w14:paraId="61CDF28A" w14:textId="77777777" w:rsidR="00320F90" w:rsidRPr="002172D3" w:rsidRDefault="00A353A0" w:rsidP="00320F90">
      <w:pPr>
        <w:rPr>
          <w:rFonts w:ascii="Times New Roman" w:hAnsi="Times New Roman" w:cs="Times New Roman"/>
          <w:lang w:val="en-US"/>
        </w:rPr>
      </w:pPr>
      <w:r w:rsidRPr="002172D3">
        <w:rPr>
          <w:rFonts w:ascii="Times New Roman" w:hAnsi="Times New Roman"/>
          <w:lang w:val="en-US"/>
        </w:rPr>
        <w:t>The constructions built between 1974 and 2023 located at the rear of the University House are not visible from Dionisie Lupu Street, unlike the greenhouses that are visible from Pictor Arthur Verona Street.</w:t>
      </w:r>
    </w:p>
    <w:p w14:paraId="61CDF28B" w14:textId="77777777" w:rsidR="00320F90" w:rsidRPr="002172D3" w:rsidRDefault="00320F90" w:rsidP="00CC7029">
      <w:pPr>
        <w:rPr>
          <w:rFonts w:ascii="Times New Roman" w:hAnsi="Times New Roman" w:cs="Times New Roman"/>
          <w:lang w:val="en-US"/>
        </w:rPr>
      </w:pPr>
    </w:p>
    <w:p w14:paraId="61CDF28C"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lang w:val="en-US"/>
        </w:rPr>
        <w:lastRenderedPageBreak/>
        <w:t>In the study area there are eight historical monuments of architecture and public space, both built heritage and planted public space. These appear before the period 1974-2023 and are classified in the 2015 List of Historical Monuments as follows:</w:t>
      </w:r>
    </w:p>
    <w:p w14:paraId="61CDF28D"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1 Central School for Girls</w:t>
      </w:r>
      <w:r w:rsidRPr="002172D3">
        <w:rPr>
          <w:rFonts w:ascii="Times New Roman" w:hAnsi="Times New Roman"/>
          <w:lang w:val="en-US"/>
        </w:rPr>
        <w:t xml:space="preserve"> (L.M.I. 2015 code: B-ll-m-A-18924), 1890 Icoanei street, no. 3-5</w:t>
      </w:r>
    </w:p>
    <w:p w14:paraId="61CDF28E"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2 Icoanei Garden</w:t>
      </w:r>
      <w:r w:rsidRPr="002172D3">
        <w:rPr>
          <w:rFonts w:ascii="Times New Roman" w:hAnsi="Times New Roman"/>
          <w:lang w:val="en-US"/>
        </w:rPr>
        <w:t xml:space="preserve"> (L.M.I. 2015 code: B-II-a-B-18301). end of the 19th century-beginning of the 20th century - Gheorghe Cantacuzino Square, without house number</w:t>
      </w:r>
    </w:p>
    <w:p w14:paraId="61CDF28F"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3 Librecht-Filipescu House – Today, University House</w:t>
      </w:r>
      <w:r w:rsidRPr="002172D3">
        <w:rPr>
          <w:rFonts w:ascii="Times New Roman" w:hAnsi="Times New Roman"/>
          <w:lang w:val="en-US"/>
        </w:rPr>
        <w:t xml:space="preserve"> (L.M.I. 2015 code: B-ll-m-A-19107), mid-19th century - Dionisie Lupu Street, no. 46</w:t>
      </w:r>
    </w:p>
    <w:p w14:paraId="61CDF290"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4 Prof. Dr. Turnescu House</w:t>
      </w:r>
      <w:r w:rsidRPr="002172D3">
        <w:rPr>
          <w:rFonts w:ascii="Times New Roman" w:hAnsi="Times New Roman"/>
          <w:lang w:val="en-US"/>
        </w:rPr>
        <w:t xml:space="preserve"> (L.M.I. 2015 code: B-II-m-B-19106) - end of the 19th century - Dionisie Lupu Street, no. 37</w:t>
      </w:r>
    </w:p>
    <w:p w14:paraId="61CDF291"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5 House</w:t>
      </w:r>
      <w:r w:rsidRPr="002172D3">
        <w:rPr>
          <w:rFonts w:ascii="Times New Roman" w:hAnsi="Times New Roman"/>
          <w:lang w:val="en-US"/>
        </w:rPr>
        <w:t xml:space="preserve"> (L.M.I. 2015 code: B-II-m-B-19624), end of the 19th century - C.A. Rosetti Street, no. 33</w:t>
      </w:r>
    </w:p>
    <w:p w14:paraId="61CDF292"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6 House</w:t>
      </w:r>
      <w:r w:rsidRPr="002172D3">
        <w:rPr>
          <w:rFonts w:ascii="Times New Roman" w:hAnsi="Times New Roman"/>
          <w:lang w:val="en-US"/>
        </w:rPr>
        <w:t xml:space="preserve"> (L.M.I. 2015 code: B-II-m-B-19625), end of the 19th century - C.A. Rosetti</w:t>
      </w:r>
      <w:r w:rsidR="00BD178D" w:rsidRPr="002172D3">
        <w:rPr>
          <w:rFonts w:ascii="Times New Roman" w:hAnsi="Times New Roman"/>
          <w:lang w:val="en-US"/>
        </w:rPr>
        <w:t>,</w:t>
      </w:r>
      <w:r w:rsidRPr="002172D3">
        <w:rPr>
          <w:rFonts w:ascii="Times New Roman" w:hAnsi="Times New Roman"/>
          <w:lang w:val="en-US"/>
        </w:rPr>
        <w:t xml:space="preserve"> nr. 35</w:t>
      </w:r>
    </w:p>
    <w:p w14:paraId="61CDF293" w14:textId="77777777" w:rsidR="00320F90" w:rsidRPr="002172D3" w:rsidRDefault="00320F90" w:rsidP="00320F90">
      <w:pPr>
        <w:jc w:val="both"/>
        <w:rPr>
          <w:rFonts w:ascii="Times New Roman" w:hAnsi="Times New Roman" w:cs="Times New Roman"/>
          <w:lang w:val="en-US"/>
        </w:rPr>
      </w:pPr>
      <w:r w:rsidRPr="002172D3">
        <w:rPr>
          <w:rFonts w:ascii="Times New Roman" w:hAnsi="Times New Roman"/>
          <w:b/>
          <w:lang w:val="en-US"/>
        </w:rPr>
        <w:t>7 Church of the "Resurrection" - Anglican</w:t>
      </w:r>
      <w:r w:rsidRPr="002172D3">
        <w:rPr>
          <w:rFonts w:ascii="Times New Roman" w:hAnsi="Times New Roman"/>
          <w:lang w:val="en-US"/>
        </w:rPr>
        <w:t xml:space="preserve"> (L.M.I. 2015 code: B-II-m-B-19833)</w:t>
      </w:r>
      <w:r w:rsidR="00BD178D" w:rsidRPr="002172D3">
        <w:rPr>
          <w:rFonts w:ascii="Times New Roman" w:hAnsi="Times New Roman"/>
          <w:lang w:val="en-US"/>
        </w:rPr>
        <w:t>,</w:t>
      </w:r>
      <w:r w:rsidRPr="002172D3">
        <w:rPr>
          <w:rFonts w:ascii="Times New Roman" w:hAnsi="Times New Roman"/>
          <w:lang w:val="en-US"/>
        </w:rPr>
        <w:t xml:space="preserve"> early 20th century Pictor Arthur Verona street, no. 13</w:t>
      </w:r>
    </w:p>
    <w:p w14:paraId="61CDF294" w14:textId="77777777" w:rsidR="00CC7029" w:rsidRPr="002172D3" w:rsidRDefault="00320F90" w:rsidP="00320F90">
      <w:pPr>
        <w:jc w:val="both"/>
        <w:rPr>
          <w:rFonts w:ascii="Times New Roman" w:hAnsi="Times New Roman" w:cs="Times New Roman"/>
          <w:sz w:val="24"/>
          <w:szCs w:val="24"/>
          <w:lang w:val="en-US"/>
        </w:rPr>
      </w:pPr>
      <w:r w:rsidRPr="002172D3">
        <w:rPr>
          <w:rFonts w:ascii="Times New Roman" w:hAnsi="Times New Roman"/>
          <w:b/>
          <w:lang w:val="en-US"/>
        </w:rPr>
        <w:t>8 Gh. Gr. Cantacuzino Monument</w:t>
      </w:r>
      <w:r w:rsidRPr="002172D3">
        <w:rPr>
          <w:rFonts w:ascii="Times New Roman" w:hAnsi="Times New Roman"/>
          <w:lang w:val="en-US"/>
        </w:rPr>
        <w:t xml:space="preserve"> (cod L.M.I. 2015 code: B-III-m-B-19968) - Gheorghe Cantacuzino Square, without house number, in the Icoanei Garden</w:t>
      </w: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2172D3" w14:paraId="61CDF2A3" w14:textId="77777777" w:rsidTr="00F96F47">
        <w:tc>
          <w:tcPr>
            <w:tcW w:w="1149" w:type="pct"/>
            <w:tcBorders>
              <w:top w:val="single" w:sz="4" w:space="0" w:color="auto"/>
              <w:left w:val="single" w:sz="4" w:space="0" w:color="auto"/>
              <w:bottom w:val="nil"/>
              <w:right w:val="nil"/>
            </w:tcBorders>
            <w:shd w:val="clear" w:color="auto" w:fill="FFFFFF"/>
          </w:tcPr>
          <w:p w14:paraId="61CDF295" w14:textId="77777777" w:rsidR="00CC7029" w:rsidRPr="002172D3" w:rsidRDefault="00CC7029" w:rsidP="00F96F47">
            <w:pPr>
              <w:spacing w:after="0" w:line="240" w:lineRule="auto"/>
              <w:jc w:val="center"/>
              <w:rPr>
                <w:rFonts w:ascii="Times New Roman" w:eastAsia="Times New Roman" w:hAnsi="Times New Roman" w:cs="Times New Roman"/>
                <w:b/>
                <w:color w:val="000000"/>
                <w:sz w:val="18"/>
                <w:szCs w:val="18"/>
                <w:lang w:val="en-US"/>
              </w:rPr>
            </w:pPr>
            <w:r w:rsidRPr="002172D3">
              <w:rPr>
                <w:rFonts w:ascii="Times New Roman" w:hAnsi="Times New Roman"/>
                <w:b/>
                <w:color w:val="000000"/>
                <w:sz w:val="18"/>
                <w:lang w:val="en-US"/>
              </w:rPr>
              <w:t>DESIGNER:</w:t>
            </w:r>
          </w:p>
          <w:p w14:paraId="61CDF296"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noProof/>
                <w:lang w:val="en-US"/>
              </w:rPr>
              <w:drawing>
                <wp:inline distT="0" distB="0" distL="0" distR="0" wp14:anchorId="61CDF2CC" wp14:editId="61CDF2CD">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876425" cy="571500"/>
                          </a:xfrm>
                          <a:prstGeom prst="rect">
                            <a:avLst/>
                          </a:prstGeom>
                        </pic:spPr>
                      </pic:pic>
                    </a:graphicData>
                  </a:graphic>
                </wp:inline>
              </w:drawing>
            </w:r>
          </w:p>
          <w:p w14:paraId="61CDF297"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S.C. LOGIC'PLAN S.R.L.</w:t>
            </w:r>
          </w:p>
          <w:p w14:paraId="61CDF298"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14:paraId="61CDF299" w14:textId="77777777" w:rsidR="00CC7029" w:rsidRPr="002172D3" w:rsidRDefault="00CC7029" w:rsidP="00F96F47">
            <w:pPr>
              <w:spacing w:after="0" w:line="240" w:lineRule="auto"/>
              <w:jc w:val="center"/>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SIGNATURE:</w:t>
            </w:r>
          </w:p>
        </w:tc>
        <w:tc>
          <w:tcPr>
            <w:tcW w:w="818" w:type="pct"/>
            <w:tcBorders>
              <w:top w:val="single" w:sz="4" w:space="0" w:color="auto"/>
              <w:left w:val="single" w:sz="4" w:space="0" w:color="auto"/>
              <w:bottom w:val="nil"/>
              <w:right w:val="nil"/>
            </w:tcBorders>
            <w:shd w:val="clear" w:color="auto" w:fill="FFFFFF"/>
          </w:tcPr>
          <w:p w14:paraId="61CDF29A" w14:textId="77777777" w:rsidR="00CC7029" w:rsidRPr="002172D3" w:rsidRDefault="00CC7029" w:rsidP="00F96F47">
            <w:pPr>
              <w:spacing w:after="0" w:line="240" w:lineRule="auto"/>
              <w:jc w:val="center"/>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JECT MANAGER</w:t>
            </w:r>
          </w:p>
          <w:p w14:paraId="61CDF29B" w14:textId="77777777" w:rsidR="00CC7029" w:rsidRPr="002172D3" w:rsidRDefault="00CC7029" w:rsidP="00F96F47">
            <w:pPr>
              <w:spacing w:after="0" w:line="240" w:lineRule="auto"/>
              <w:jc w:val="center"/>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Laura Elena TUCAN</w:t>
            </w:r>
          </w:p>
          <w:p w14:paraId="61CDF29C" w14:textId="77777777" w:rsidR="00CC7029" w:rsidRPr="002172D3" w:rsidRDefault="00CC7029" w:rsidP="00F96F47">
            <w:pPr>
              <w:spacing w:after="0" w:line="240" w:lineRule="auto"/>
              <w:jc w:val="center"/>
              <w:rPr>
                <w:rFonts w:ascii="Times New Roman" w:eastAsia="Times New Roman" w:hAnsi="Times New Roman" w:cs="Times New Roman"/>
                <w:color w:val="000000"/>
                <w:sz w:val="18"/>
                <w:szCs w:val="18"/>
                <w:lang w:val="en-US"/>
              </w:rPr>
            </w:pPr>
            <w:r w:rsidRPr="002172D3">
              <w:rPr>
                <w:rFonts w:ascii="Times New Roman" w:hAnsi="Times New Roman"/>
                <w:color w:val="000000"/>
                <w:sz w:val="18"/>
                <w:lang w:val="en-US"/>
              </w:rPr>
              <w:t>Urban planner, RUR member</w:t>
            </w:r>
          </w:p>
          <w:p w14:paraId="61CDF29D" w14:textId="77777777" w:rsidR="00CC7029" w:rsidRPr="002172D3" w:rsidRDefault="00CC7029" w:rsidP="00F96F47">
            <w:pPr>
              <w:spacing w:after="0" w:line="240" w:lineRule="auto"/>
              <w:jc w:val="center"/>
              <w:rPr>
                <w:rFonts w:ascii="Times New Roman" w:eastAsia="Times New Roman" w:hAnsi="Times New Roman" w:cs="Times New Roman"/>
                <w:sz w:val="18"/>
                <w:szCs w:val="18"/>
                <w:lang w:val="en-US"/>
              </w:rPr>
            </w:pPr>
            <w:r w:rsidRPr="002172D3">
              <w:rPr>
                <w:rFonts w:ascii="Times New Roman" w:hAnsi="Times New Roman"/>
                <w:color w:val="000000"/>
                <w:sz w:val="18"/>
                <w:lang w:val="en-US"/>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14:paraId="61CDF29E" w14:textId="77777777" w:rsidR="00CC7029" w:rsidRPr="002172D3" w:rsidRDefault="00CC7029" w:rsidP="00F96F47">
            <w:pPr>
              <w:spacing w:after="0" w:line="240" w:lineRule="auto"/>
              <w:jc w:val="center"/>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SIGNATURE:</w:t>
            </w:r>
          </w:p>
        </w:tc>
        <w:tc>
          <w:tcPr>
            <w:tcW w:w="1127" w:type="pct"/>
            <w:gridSpan w:val="2"/>
            <w:tcBorders>
              <w:top w:val="single" w:sz="4" w:space="0" w:color="auto"/>
              <w:left w:val="single" w:sz="4" w:space="0" w:color="auto"/>
              <w:bottom w:val="nil"/>
              <w:right w:val="nil"/>
            </w:tcBorders>
            <w:shd w:val="clear" w:color="auto" w:fill="FFFFFF"/>
          </w:tcPr>
          <w:p w14:paraId="61CDF29F" w14:textId="77777777" w:rsidR="00CC7029" w:rsidRPr="002172D3" w:rsidRDefault="00CC7029" w:rsidP="00CC7029">
            <w:pPr>
              <w:spacing w:after="0" w:line="240" w:lineRule="auto"/>
              <w:jc w:val="both"/>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ARCHITECTURE COORDINATOR:</w:t>
            </w:r>
          </w:p>
          <w:p w14:paraId="61CDF2A0" w14:textId="77777777" w:rsidR="00CC7029" w:rsidRPr="002172D3" w:rsidRDefault="00CC7029" w:rsidP="00CC7029">
            <w:pPr>
              <w:spacing w:after="0" w:line="240" w:lineRule="auto"/>
              <w:jc w:val="both"/>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George - Bogdan TEODORESCU</w:t>
            </w:r>
          </w:p>
          <w:p w14:paraId="61CDF2A1" w14:textId="77777777" w:rsidR="00CC7029" w:rsidRPr="002172D3" w:rsidRDefault="00CC7029" w:rsidP="00CC7029">
            <w:pPr>
              <w:spacing w:after="0" w:line="240" w:lineRule="auto"/>
              <w:jc w:val="both"/>
              <w:rPr>
                <w:rFonts w:ascii="Times New Roman" w:eastAsia="Times New Roman" w:hAnsi="Times New Roman" w:cs="Times New Roman"/>
                <w:sz w:val="18"/>
                <w:szCs w:val="18"/>
                <w:lang w:val="en-US"/>
              </w:rPr>
            </w:pPr>
            <w:r w:rsidRPr="002172D3">
              <w:rPr>
                <w:rFonts w:ascii="Times New Roman" w:hAnsi="Times New Roman"/>
                <w:color w:val="000000"/>
                <w:sz w:val="18"/>
                <w:lang w:val="en-US"/>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14:paraId="61CDF2A2" w14:textId="77777777" w:rsidR="00CC7029" w:rsidRPr="002172D3" w:rsidRDefault="00CC7029" w:rsidP="00F96F47">
            <w:pPr>
              <w:spacing w:after="0" w:line="240" w:lineRule="auto"/>
              <w:jc w:val="center"/>
              <w:rPr>
                <w:rFonts w:ascii="Times New Roman" w:eastAsia="Times New Roman" w:hAnsi="Times New Roman" w:cs="Times New Roman"/>
                <w:sz w:val="18"/>
                <w:szCs w:val="18"/>
                <w:lang w:val="en-US"/>
              </w:rPr>
            </w:pPr>
            <w:r w:rsidRPr="002172D3">
              <w:rPr>
                <w:rFonts w:ascii="Times New Roman" w:hAnsi="Times New Roman"/>
                <w:b/>
                <w:color w:val="000000"/>
                <w:sz w:val="18"/>
                <w:lang w:val="en-US"/>
              </w:rPr>
              <w:t>SIGNATURE:</w:t>
            </w:r>
          </w:p>
        </w:tc>
      </w:tr>
      <w:tr w:rsidR="00CC7029" w:rsidRPr="002172D3" w14:paraId="61CDF2A7" w14:textId="77777777" w:rsidTr="00F96F47">
        <w:tc>
          <w:tcPr>
            <w:tcW w:w="2525" w:type="pct"/>
            <w:gridSpan w:val="4"/>
            <w:tcBorders>
              <w:top w:val="single" w:sz="4" w:space="0" w:color="auto"/>
              <w:left w:val="single" w:sz="4" w:space="0" w:color="auto"/>
              <w:bottom w:val="nil"/>
              <w:right w:val="nil"/>
            </w:tcBorders>
            <w:shd w:val="clear" w:color="auto" w:fill="FFFFFF"/>
          </w:tcPr>
          <w:p w14:paraId="61CDF2A4"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PROJECT NAME:</w:t>
            </w:r>
          </w:p>
        </w:tc>
        <w:tc>
          <w:tcPr>
            <w:tcW w:w="1276" w:type="pct"/>
            <w:gridSpan w:val="2"/>
            <w:tcBorders>
              <w:top w:val="single" w:sz="4" w:space="0" w:color="auto"/>
              <w:left w:val="single" w:sz="4" w:space="0" w:color="auto"/>
              <w:bottom w:val="nil"/>
              <w:right w:val="nil"/>
            </w:tcBorders>
            <w:shd w:val="clear" w:color="auto" w:fill="FFFFFF"/>
          </w:tcPr>
          <w:p w14:paraId="61CDF2A5"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A6"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SIGNATURES:</w:t>
            </w:r>
          </w:p>
        </w:tc>
      </w:tr>
      <w:tr w:rsidR="00CC7029" w:rsidRPr="002172D3" w14:paraId="61CDF2AB" w14:textId="77777777"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14:paraId="61CDF2A8"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Historical study for the analysis of the possibilities of functional conversion of the annexes, the greenhouse a</w:t>
            </w:r>
            <w:r w:rsidR="00BD178D" w:rsidRPr="002172D3">
              <w:rPr>
                <w:rFonts w:ascii="Times New Roman" w:hAnsi="Times New Roman"/>
                <w:color w:val="000000"/>
                <w:sz w:val="18"/>
                <w:lang w:val="en-US"/>
              </w:rPr>
              <w:t>nd the courtyard of the Librech</w:t>
            </w:r>
            <w:r w:rsidRPr="002172D3">
              <w:rPr>
                <w:rFonts w:ascii="Times New Roman" w:hAnsi="Times New Roman"/>
                <w:color w:val="000000"/>
                <w:sz w:val="18"/>
                <w:lang w:val="en-US"/>
              </w:rPr>
              <w:t>t - Filipescu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14:paraId="61CDF2A9"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AA"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r>
      <w:tr w:rsidR="00CC7029" w:rsidRPr="002172D3" w14:paraId="61CDF2AF" w14:textId="77777777" w:rsidTr="00F96F47">
        <w:tc>
          <w:tcPr>
            <w:tcW w:w="2525" w:type="pct"/>
            <w:gridSpan w:val="4"/>
            <w:vMerge/>
            <w:tcBorders>
              <w:top w:val="nil"/>
              <w:left w:val="single" w:sz="4" w:space="0" w:color="auto"/>
              <w:bottom w:val="nil"/>
              <w:right w:val="nil"/>
            </w:tcBorders>
            <w:shd w:val="clear" w:color="auto" w:fill="FFFFFF"/>
            <w:vAlign w:val="center"/>
          </w:tcPr>
          <w:p w14:paraId="61CDF2AC"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1CDF2AD"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AE"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r>
      <w:tr w:rsidR="00CC7029" w:rsidRPr="002172D3" w14:paraId="61CDF2B3" w14:textId="77777777" w:rsidTr="00F96F47">
        <w:tc>
          <w:tcPr>
            <w:tcW w:w="2525" w:type="pct"/>
            <w:gridSpan w:val="4"/>
            <w:vMerge/>
            <w:tcBorders>
              <w:top w:val="nil"/>
              <w:left w:val="single" w:sz="4" w:space="0" w:color="auto"/>
              <w:bottom w:val="nil"/>
              <w:right w:val="nil"/>
            </w:tcBorders>
            <w:shd w:val="clear" w:color="auto" w:fill="FFFFFF"/>
            <w:vAlign w:val="center"/>
          </w:tcPr>
          <w:p w14:paraId="61CDF2B0"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1CDF2B1"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B2"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r>
      <w:tr w:rsidR="00CC7029" w:rsidRPr="002172D3" w14:paraId="61CDF2B7" w14:textId="77777777" w:rsidTr="00F96F47">
        <w:tc>
          <w:tcPr>
            <w:tcW w:w="2525" w:type="pct"/>
            <w:gridSpan w:val="4"/>
            <w:vMerge/>
            <w:tcBorders>
              <w:top w:val="nil"/>
              <w:left w:val="single" w:sz="4" w:space="0" w:color="auto"/>
              <w:bottom w:val="nil"/>
              <w:right w:val="nil"/>
            </w:tcBorders>
            <w:shd w:val="clear" w:color="auto" w:fill="FFFFFF"/>
            <w:vAlign w:val="center"/>
          </w:tcPr>
          <w:p w14:paraId="61CDF2B4"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1CDF2B5"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B6"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r>
      <w:tr w:rsidR="00CC7029" w:rsidRPr="002172D3" w14:paraId="61CDF2BC" w14:textId="77777777" w:rsidTr="00F96F47">
        <w:tc>
          <w:tcPr>
            <w:tcW w:w="1289" w:type="pct"/>
            <w:gridSpan w:val="2"/>
            <w:vMerge w:val="restart"/>
            <w:tcBorders>
              <w:top w:val="single" w:sz="4" w:space="0" w:color="auto"/>
              <w:left w:val="single" w:sz="4" w:space="0" w:color="auto"/>
              <w:bottom w:val="nil"/>
              <w:right w:val="nil"/>
            </w:tcBorders>
            <w:shd w:val="clear" w:color="auto" w:fill="FFFFFF"/>
          </w:tcPr>
          <w:p w14:paraId="61CDF2B8"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14:paraId="61CDF2B9" w14:textId="77777777" w:rsidR="00CC7029" w:rsidRPr="002172D3" w:rsidRDefault="00320F90" w:rsidP="00AC5ACE">
            <w:pPr>
              <w:spacing w:after="0" w:line="240" w:lineRule="auto"/>
              <w:jc w:val="both"/>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HISTORICAL EVOLUTION OF THE STREET NETWORK, THE PLOT AND THE BUILT FACILITY - COMPARATIVE ANALYSIS OF THE YEARS 1974-2023</w:t>
            </w:r>
          </w:p>
        </w:tc>
        <w:tc>
          <w:tcPr>
            <w:tcW w:w="1276" w:type="pct"/>
            <w:gridSpan w:val="2"/>
            <w:tcBorders>
              <w:top w:val="single" w:sz="4" w:space="0" w:color="auto"/>
              <w:left w:val="single" w:sz="4" w:space="0" w:color="auto"/>
              <w:bottom w:val="nil"/>
              <w:right w:val="nil"/>
            </w:tcBorders>
            <w:shd w:val="clear" w:color="auto" w:fill="FFFFFF"/>
          </w:tcPr>
          <w:p w14:paraId="61CDF2BA"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BB"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b/>
                <w:color w:val="000000"/>
                <w:sz w:val="18"/>
                <w:lang w:val="en-US"/>
              </w:rPr>
              <w:t>PROJECT NO.:</w:t>
            </w:r>
            <w:r w:rsidRPr="002172D3">
              <w:rPr>
                <w:rFonts w:ascii="Times New Roman" w:hAnsi="Times New Roman"/>
                <w:color w:val="000000"/>
                <w:sz w:val="18"/>
                <w:lang w:val="en-US"/>
              </w:rPr>
              <w:t xml:space="preserve"> 6407/09306.2023</w:t>
            </w:r>
          </w:p>
        </w:tc>
      </w:tr>
      <w:tr w:rsidR="00CC7029" w:rsidRPr="002172D3" w14:paraId="61CDF2C1" w14:textId="77777777" w:rsidTr="00F96F47">
        <w:tc>
          <w:tcPr>
            <w:tcW w:w="1289" w:type="pct"/>
            <w:gridSpan w:val="2"/>
            <w:vMerge/>
            <w:tcBorders>
              <w:top w:val="nil"/>
              <w:left w:val="single" w:sz="4" w:space="0" w:color="auto"/>
              <w:bottom w:val="nil"/>
              <w:right w:val="nil"/>
            </w:tcBorders>
            <w:shd w:val="clear" w:color="auto" w:fill="FFFFFF"/>
          </w:tcPr>
          <w:p w14:paraId="61CDF2BD"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c>
          <w:tcPr>
            <w:tcW w:w="1236" w:type="pct"/>
            <w:gridSpan w:val="2"/>
            <w:vMerge/>
            <w:tcBorders>
              <w:top w:val="nil"/>
              <w:left w:val="single" w:sz="4" w:space="0" w:color="auto"/>
              <w:bottom w:val="nil"/>
              <w:right w:val="nil"/>
            </w:tcBorders>
            <w:shd w:val="clear" w:color="auto" w:fill="FFFFFF"/>
          </w:tcPr>
          <w:p w14:paraId="61CDF2BE"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1CDF2BF"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14:paraId="61CDF2C0"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JULY 2023</w:t>
            </w:r>
          </w:p>
        </w:tc>
      </w:tr>
      <w:tr w:rsidR="00CC7029" w:rsidRPr="002172D3" w14:paraId="61CDF2C6" w14:textId="77777777" w:rsidTr="00F96F47">
        <w:tc>
          <w:tcPr>
            <w:tcW w:w="1289" w:type="pct"/>
            <w:gridSpan w:val="2"/>
            <w:tcBorders>
              <w:top w:val="single" w:sz="4" w:space="0" w:color="auto"/>
              <w:left w:val="single" w:sz="4" w:space="0" w:color="auto"/>
              <w:bottom w:val="single" w:sz="4" w:space="0" w:color="auto"/>
              <w:right w:val="nil"/>
            </w:tcBorders>
            <w:shd w:val="clear" w:color="auto" w:fill="FFFFFF"/>
          </w:tcPr>
          <w:p w14:paraId="61CDF2C2"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14:paraId="61CDF2C3" w14:textId="77777777" w:rsidR="00CC7029" w:rsidRPr="002172D3" w:rsidRDefault="00CC7029" w:rsidP="00892AF2">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SHEET 1.4.</w:t>
            </w:r>
          </w:p>
        </w:tc>
        <w:tc>
          <w:tcPr>
            <w:tcW w:w="1276" w:type="pct"/>
            <w:gridSpan w:val="2"/>
            <w:tcBorders>
              <w:top w:val="single" w:sz="4" w:space="0" w:color="auto"/>
              <w:left w:val="single" w:sz="4" w:space="0" w:color="auto"/>
              <w:bottom w:val="single" w:sz="4" w:space="0" w:color="auto"/>
              <w:right w:val="nil"/>
            </w:tcBorders>
            <w:shd w:val="clear" w:color="auto" w:fill="FFFFFF"/>
          </w:tcPr>
          <w:p w14:paraId="61CDF2C4" w14:textId="77777777" w:rsidR="00CC7029" w:rsidRPr="002172D3" w:rsidRDefault="00CC7029" w:rsidP="00F96F47">
            <w:pPr>
              <w:spacing w:after="0" w:line="240" w:lineRule="auto"/>
              <w:rPr>
                <w:rFonts w:ascii="Times New Roman" w:eastAsia="Times New Roman" w:hAnsi="Times New Roman" w:cs="Times New Roman"/>
                <w:b/>
                <w:sz w:val="18"/>
                <w:szCs w:val="18"/>
                <w:lang w:val="en-US"/>
              </w:rPr>
            </w:pPr>
            <w:r w:rsidRPr="002172D3">
              <w:rPr>
                <w:rFonts w:ascii="Times New Roman" w:hAnsi="Times New Roman"/>
                <w:b/>
                <w:color w:val="000000"/>
                <w:sz w:val="18"/>
                <w:lang w:val="en-US"/>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14:paraId="61CDF2C5" w14:textId="77777777" w:rsidR="00CC7029" w:rsidRPr="002172D3" w:rsidRDefault="00CC7029" w:rsidP="00F96F47">
            <w:pPr>
              <w:spacing w:after="0" w:line="240" w:lineRule="auto"/>
              <w:rPr>
                <w:rFonts w:ascii="Times New Roman" w:eastAsia="Times New Roman" w:hAnsi="Times New Roman" w:cs="Times New Roman"/>
                <w:sz w:val="18"/>
                <w:szCs w:val="18"/>
                <w:lang w:val="en-US"/>
              </w:rPr>
            </w:pPr>
            <w:r w:rsidRPr="002172D3">
              <w:rPr>
                <w:rFonts w:ascii="Times New Roman" w:hAnsi="Times New Roman"/>
                <w:color w:val="000000"/>
                <w:sz w:val="18"/>
                <w:lang w:val="en-US"/>
              </w:rPr>
              <w:t>BUCHAREST UNIVERSITY</w:t>
            </w:r>
          </w:p>
        </w:tc>
      </w:tr>
    </w:tbl>
    <w:p w14:paraId="61CDF2C7" w14:textId="77777777" w:rsidR="00CC7029" w:rsidRPr="002172D3" w:rsidRDefault="00CC7029" w:rsidP="00CC7029">
      <w:pPr>
        <w:rPr>
          <w:rFonts w:ascii="Times New Roman" w:hAnsi="Times New Roman" w:cs="Times New Roman"/>
          <w:lang w:val="en-US"/>
        </w:rPr>
      </w:pPr>
    </w:p>
    <w:sectPr w:rsidR="00CC7029" w:rsidRPr="002172D3"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6819"/>
    <w:rsid w:val="00063027"/>
    <w:rsid w:val="00146F7E"/>
    <w:rsid w:val="00160286"/>
    <w:rsid w:val="0016181F"/>
    <w:rsid w:val="001A516D"/>
    <w:rsid w:val="001E0D7D"/>
    <w:rsid w:val="001F0D49"/>
    <w:rsid w:val="001F66AF"/>
    <w:rsid w:val="002172D3"/>
    <w:rsid w:val="00320F90"/>
    <w:rsid w:val="003534BE"/>
    <w:rsid w:val="003C747F"/>
    <w:rsid w:val="003E3C50"/>
    <w:rsid w:val="004D22A5"/>
    <w:rsid w:val="00552EA4"/>
    <w:rsid w:val="00786819"/>
    <w:rsid w:val="00892AF2"/>
    <w:rsid w:val="008F37BF"/>
    <w:rsid w:val="00A353A0"/>
    <w:rsid w:val="00AC5ACE"/>
    <w:rsid w:val="00B46B35"/>
    <w:rsid w:val="00BD178D"/>
    <w:rsid w:val="00BF7FEF"/>
    <w:rsid w:val="00C731FC"/>
    <w:rsid w:val="00CC7029"/>
    <w:rsid w:val="00D10571"/>
    <w:rsid w:val="00D37955"/>
    <w:rsid w:val="00F449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CDF243"/>
  <w15:docId w15:val="{B4BD93F2-F719-45D9-AA7F-2F194276E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EB8AEE-50B4-45BE-B6EB-E4376FA58FB4}">
  <ds:schemaRefs>
    <ds:schemaRef ds:uri="http://schemas.microsoft.com/sharepoint/v3/contenttype/forms"/>
  </ds:schemaRefs>
</ds:datastoreItem>
</file>

<file path=customXml/itemProps2.xml><?xml version="1.0" encoding="utf-8"?>
<ds:datastoreItem xmlns:ds="http://schemas.openxmlformats.org/officeDocument/2006/customXml" ds:itemID="{3F82A78F-10A5-4C0E-8937-1FB7E110E988}"/>
</file>

<file path=customXml/itemProps3.xml><?xml version="1.0" encoding="utf-8"?>
<ds:datastoreItem xmlns:ds="http://schemas.openxmlformats.org/officeDocument/2006/customXml" ds:itemID="{E8A7E73B-8569-4464-A3C6-25273B6F3571}">
  <ds:schemaRefs>
    <ds:schemaRef ds:uri="http://schemas.microsoft.com/office/2006/metadata/properties"/>
    <ds:schemaRef ds:uri="http://schemas.microsoft.com/office/infopath/2007/PartnerControls"/>
    <ds:schemaRef ds:uri="58a43870-bf46-4100-9cae-3929bce8fb1b"/>
    <ds:schemaRef ds:uri="00e79577-5ac5-48c9-b204-f95998542bf3"/>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Pages>
  <Words>1172</Words>
  <Characters>6599</Characters>
  <Application>Microsoft Office Word</Application>
  <DocSecurity>0</DocSecurity>
  <Lines>212</Lines>
  <Paragraphs>107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Pepe Peralta</cp:lastModifiedBy>
  <cp:revision>13</cp:revision>
  <dcterms:created xsi:type="dcterms:W3CDTF">2025-10-05T16:57:00Z</dcterms:created>
  <dcterms:modified xsi:type="dcterms:W3CDTF">2025-10-22T10:33:00Z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GrammarlyDocumentId">
    <vt:lpwstr>229835ec-c296-4553-bfb2-c3d4bc2f1cd3</vt:lpwstr>
  </property>
  <property fmtid="{D5CDD505-2E9C-101B-9397-08002B2CF9AE}" pid="4" name="MediaServiceImageTags">
    <vt:lpwstr/>
  </property>
</Properties>
</file>